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65F7A" w14:textId="77777777" w:rsidR="001E56C6" w:rsidRDefault="00000000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color w:val="000000"/>
        </w:rPr>
      </w:pPr>
      <w:r>
        <w:rPr>
          <w:rFonts w:ascii="Arial-BoldMT" w:eastAsia="Arial-BoldMT" w:hAnsi="Arial-BoldMT" w:cs="Arial-BoldMT"/>
          <w:b/>
          <w:color w:val="000000"/>
        </w:rPr>
        <w:t xml:space="preserve">         MINUTES OF THE MEETING OF THE PARISH COUNCIL OF CLIFTON HAMPDEN, </w:t>
      </w:r>
    </w:p>
    <w:p w14:paraId="7B59932C" w14:textId="77777777" w:rsidR="001E56C6" w:rsidRDefault="00000000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color w:val="000000"/>
        </w:rPr>
        <w:t>HELD IN THE VILLAGE HALL ON 26</w:t>
      </w:r>
      <w:r>
        <w:rPr>
          <w:rFonts w:ascii="Arial-BoldMT" w:eastAsia="Arial-BoldMT" w:hAnsi="Arial-BoldMT" w:cs="Arial-BoldMT"/>
          <w:b/>
          <w:color w:val="000000"/>
          <w:vertAlign w:val="superscript"/>
        </w:rPr>
        <w:t>th</w:t>
      </w:r>
      <w:r>
        <w:rPr>
          <w:rFonts w:ascii="Arial-BoldMT" w:eastAsia="Arial-BoldMT" w:hAnsi="Arial-BoldMT" w:cs="Arial-BoldMT"/>
          <w:b/>
          <w:color w:val="000000"/>
        </w:rPr>
        <w:t xml:space="preserve"> FEBRUARY 2024</w:t>
      </w:r>
    </w:p>
    <w:p w14:paraId="3670069B" w14:textId="77777777" w:rsidR="001E56C6" w:rsidRDefault="001E56C6">
      <w:pPr>
        <w:widowControl/>
        <w:spacing w:after="200" w:line="276" w:lineRule="auto"/>
      </w:pPr>
    </w:p>
    <w:tbl>
      <w:tblPr>
        <w:tblStyle w:val="a1"/>
        <w:tblW w:w="12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10562"/>
        <w:gridCol w:w="1082"/>
      </w:tblGrid>
      <w:tr w:rsidR="001E56C6" w14:paraId="363BF5D3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3976" w14:textId="77777777" w:rsidR="001E56C6" w:rsidRDefault="001E56C6">
            <w:pPr>
              <w:ind w:left="360"/>
              <w:jc w:val="center"/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C7B" w14:textId="77777777" w:rsidR="001E56C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</w:rPr>
            </w:pPr>
            <w:r>
              <w:rPr>
                <w:rFonts w:ascii="TrebuchetMS-Bold" w:eastAsia="TrebuchetMS-Bold" w:hAnsi="TrebuchetMS-Bold" w:cs="TrebuchetMS-Bold"/>
                <w:b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Glenn Pereira, Suzanne Neave, Nick Fielding, Christine McCulloch, and Paul Schenk.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8F66" w14:textId="77777777" w:rsidR="001E56C6" w:rsidRDefault="001E5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rebuchetMS-Bold" w:eastAsia="TrebuchetMS-Bold" w:hAnsi="TrebuchetMS-Bold" w:cs="TrebuchetMS-Bold"/>
                <w:b/>
                <w:color w:val="000000"/>
                <w:sz w:val="22"/>
                <w:szCs w:val="22"/>
              </w:rPr>
            </w:pPr>
          </w:p>
        </w:tc>
      </w:tr>
      <w:tr w:rsidR="001E56C6" w14:paraId="2EBE8A0E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7B37" w14:textId="77777777" w:rsidR="001E56C6" w:rsidRDefault="001E56C6">
            <w:pPr>
              <w:ind w:left="360"/>
              <w:jc w:val="center"/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579" w14:textId="77777777" w:rsidR="001E56C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color w:val="000000"/>
                <w:sz w:val="22"/>
                <w:szCs w:val="22"/>
              </w:rPr>
              <w:t xml:space="preserve">Apologies:        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Marc Juffkins and 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Robin Bennet (OCC) </w:t>
            </w:r>
          </w:p>
          <w:p w14:paraId="1A9D7A4B" w14:textId="77777777" w:rsidR="001E56C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:    Sam Casey Rerhaye (SODC)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FBA" w14:textId="77777777" w:rsidR="001E56C6" w:rsidRDefault="001E5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rebuchetMS-Bold" w:eastAsia="TrebuchetMS-Bold" w:hAnsi="TrebuchetMS-Bold" w:cs="TrebuchetMS-Bold"/>
                <w:b/>
                <w:color w:val="000000"/>
                <w:sz w:val="22"/>
                <w:szCs w:val="22"/>
              </w:rPr>
            </w:pPr>
          </w:p>
        </w:tc>
      </w:tr>
      <w:tr w:rsidR="001E56C6" w14:paraId="4D32B601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F980" w14:textId="77777777" w:rsidR="001E56C6" w:rsidRDefault="001E56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91A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Public Participation</w:t>
            </w:r>
          </w:p>
          <w:p w14:paraId="589A8FF9" w14:textId="77777777" w:rsidR="001E56C6" w:rsidRDefault="00000000">
            <w:pPr>
              <w:keepNext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Members of the public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2218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7EE80375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228D" w14:textId="77777777" w:rsidR="001E56C6" w:rsidRDefault="001E56C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B10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Minutes</w:t>
            </w:r>
          </w:p>
          <w:p w14:paraId="751DA55C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minutes of the meeting on 22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January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2024  were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agreed to be a correct record of the meeting, subject to amending typographical errors.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E61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5B91AEB4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AD</w:t>
            </w:r>
          </w:p>
        </w:tc>
      </w:tr>
      <w:tr w:rsidR="001E56C6" w14:paraId="6908CA5A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811" w14:textId="77777777" w:rsidR="001E56C6" w:rsidRDefault="001E56C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1B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Public Participation</w:t>
            </w:r>
          </w:p>
          <w:p w14:paraId="799B420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was advised that the boardwalk by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River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Thames requires repair.</w:t>
            </w:r>
          </w:p>
          <w:p w14:paraId="54403758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It was reported that water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run off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from fields adjacent to Oxford Road had caused considerable flooding to properties in the area.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051C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20A32715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CDF8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4C75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Matters Arising</w:t>
            </w:r>
          </w:p>
          <w:p w14:paraId="6842E22B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Despite assurances from OCC the Vehicle Activated Speed sign in Burcot is still not working.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7844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2C71B114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52F055A8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09CD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C7A6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Interests</w:t>
            </w:r>
          </w:p>
          <w:p w14:paraId="464324C3" w14:textId="77777777" w:rsidR="001E56C6" w:rsidRDefault="00000000">
            <w:pPr>
              <w:widowControl/>
              <w:shd w:val="clear" w:color="auto" w:fill="FFFFFF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379E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3DC64DE9" w14:textId="77777777">
        <w:trPr>
          <w:trHeight w:val="194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DCC7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BAD4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Councillors’ Reports</w:t>
            </w:r>
          </w:p>
          <w:p w14:paraId="64880625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Bennet reported that SODC were consulting on the contents of their local Plan looking for locations for 17000 homes, having removes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Chalgrove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Airfield from the development proposals.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However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there was growing concern at the sewage capacity for further development around Oxford. Any development would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reuire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higher level of environmental standards.</w:t>
            </w:r>
          </w:p>
          <w:p w14:paraId="51609CF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Comments can be made on </w:t>
            </w:r>
          </w:p>
          <w:p w14:paraId="0271D226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hyperlink r:id="rId6">
              <w:r>
                <w:rPr>
                  <w:rFonts w:ascii="Arial-BoldMT" w:eastAsia="Arial-BoldMT" w:hAnsi="Arial-BoldMT" w:cs="Arial-BoldMT"/>
                  <w:color w:val="0000FF"/>
                  <w:sz w:val="20"/>
                  <w:szCs w:val="20"/>
                  <w:u w:val="single"/>
                </w:rPr>
                <w:t>jointheconversation@southandvale.gov.uk</w:t>
              </w:r>
            </w:hyperlink>
          </w:p>
          <w:p w14:paraId="6397B44C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There is a new scheme being developed for the distribution of CIL money.</w:t>
            </w:r>
          </w:p>
          <w:p w14:paraId="4DECC62A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will be holding its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annula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Spring Clean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frm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15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– 23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March.</w:t>
            </w:r>
          </w:p>
          <w:p w14:paraId="0F7B2216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Cllr Casey Rerhaye will be speaking at the inquiry into the HIF1 scheme on 27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February.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DE5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3E39BAA3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47B9CBA5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7F121802" w14:textId="77777777">
        <w:trPr>
          <w:trHeight w:val="194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CBB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510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Flooding</w:t>
            </w:r>
          </w:p>
          <w:p w14:paraId="4030BC54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noted a report into the recent flooding issues by Cllr Neave, working with interested parties to ascertain responsibilities and available actions.</w:t>
            </w:r>
          </w:p>
          <w:p w14:paraId="28B5AD1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agreed the proposals contained in the report and also agreed in principle to form a Sub Committee to oversee flooding issues within the Parish.</w:t>
            </w:r>
          </w:p>
          <w:p w14:paraId="5CBD5B1D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3DA0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074858F4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12B6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869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Neighbourhood Development</w:t>
            </w:r>
            <w:r>
              <w:rPr>
                <w:rFonts w:ascii="Arial-BoldMT" w:eastAsia="Arial-BoldMT" w:hAnsi="Arial-BoldMT" w:cs="Arial-BoldMT"/>
                <w:b/>
                <w:sz w:val="20"/>
                <w:szCs w:val="20"/>
              </w:rPr>
              <w:t xml:space="preserve"> P</w:t>
            </w: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lan (NDP)</w:t>
            </w:r>
          </w:p>
          <w:p w14:paraId="195D1D92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  <w:p w14:paraId="24443365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Remains with the examiner. No update</w:t>
            </w:r>
            <w:proofErr w:type="gram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. .</w:t>
            </w:r>
            <w:proofErr w:type="gramEnd"/>
          </w:p>
          <w:p w14:paraId="67747CDC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  <w:p w14:paraId="7AE6F596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  <w:p w14:paraId="09686A64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Neighbourhood Development Order (NDO)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.</w:t>
            </w:r>
          </w:p>
          <w:p w14:paraId="05C62B37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 </w:t>
            </w:r>
          </w:p>
          <w:p w14:paraId="1E7488E4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The Parish Council noted that a Parish Meeting to discuss the Neighbourhood Development Order would be held on 7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March 2024.</w:t>
            </w:r>
          </w:p>
          <w:p w14:paraId="77B4573C" w14:textId="77777777" w:rsidR="001E56C6" w:rsidRDefault="00000000">
            <w:pPr>
              <w:widowControl/>
              <w:shd w:val="clear" w:color="auto" w:fill="FFFFFF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Currently there was a need for all parties to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finalise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the agreement between the surgery and the developers.</w:t>
            </w:r>
          </w:p>
          <w:p w14:paraId="5C8392C7" w14:textId="77777777" w:rsidR="001E56C6" w:rsidRDefault="001E56C6">
            <w:pPr>
              <w:widowControl/>
              <w:shd w:val="clear" w:color="auto" w:fill="FFFFFF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168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uir</w:t>
            </w:r>
            <w:proofErr w:type="spellEnd"/>
          </w:p>
        </w:tc>
      </w:tr>
      <w:tr w:rsidR="001E56C6" w14:paraId="794226B0" w14:textId="77777777">
        <w:trPr>
          <w:trHeight w:val="3252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937C4" w14:textId="77777777" w:rsidR="001E56C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103</w:t>
            </w: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D6413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Finance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</w:p>
          <w:p w14:paraId="2C64E8C6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Council noted its financial position and authorized the following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payments:-</w:t>
            </w:r>
            <w:proofErr w:type="gramEnd"/>
          </w:p>
          <w:tbl>
            <w:tblPr>
              <w:tblStyle w:val="a2"/>
              <w:tblW w:w="7841" w:type="dxa"/>
              <w:tblLayout w:type="fixed"/>
              <w:tblLook w:val="0400" w:firstRow="0" w:lastRow="0" w:firstColumn="0" w:lastColumn="0" w:noHBand="0" w:noVBand="1"/>
            </w:tblPr>
            <w:tblGrid>
              <w:gridCol w:w="5082"/>
              <w:gridCol w:w="1907"/>
              <w:gridCol w:w="852"/>
            </w:tblGrid>
            <w:tr w:rsidR="001E56C6" w14:paraId="1984834F" w14:textId="77777777">
              <w:trPr>
                <w:trHeight w:val="300"/>
              </w:trPr>
              <w:tc>
                <w:tcPr>
                  <w:tcW w:w="5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642AC6D" w14:textId="77777777" w:rsidR="001E56C6" w:rsidRDefault="001E56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-BoldMT" w:eastAsia="Arial-BoldMT" w:hAnsi="Arial-BoldMT" w:cs="Arial-BoldMT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5743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213"/>
                    <w:gridCol w:w="2214"/>
                    <w:gridCol w:w="1316"/>
                  </w:tblGrid>
                  <w:tr w:rsidR="001E56C6" w14:paraId="5B323066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6DDA9CA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Gallagher 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0C77C34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insurance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2FF4BE38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7D4EC8A7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F77B2E4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 Bowden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E1695A5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cleaner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637792FC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54462723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2749937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CHVH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E26B835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coffee morning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0E75B24F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7F70A03A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2584A86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OALC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02FC43B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subscription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3387E533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31B85BE7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EBFD4F2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HMRC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05915C4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cl tax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34A4CF7A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48410B61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08AA8BEE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Mrs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A Davies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11C6E93A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salary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16EE1FA7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56C6" w14:paraId="5DBCCC17" w14:textId="77777777">
                    <w:trPr>
                      <w:trHeight w:val="300"/>
                    </w:trPr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025E6D8C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Google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7B9D3726" w14:textId="77777777" w:rsidR="001E56C6" w:rsidRDefault="00000000">
                        <w:pPr>
                          <w:widowControl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it</w:t>
                        </w:r>
                      </w:p>
                    </w:tc>
                    <w:tc>
                      <w:tcPr>
                        <w:tcW w:w="1316" w:type="dxa"/>
                        <w:vAlign w:val="bottom"/>
                      </w:tcPr>
                      <w:p w14:paraId="59599BD9" w14:textId="77777777" w:rsidR="001E56C6" w:rsidRDefault="001E56C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EE7CA7" w14:textId="77777777" w:rsidR="001E56C6" w:rsidRDefault="001E56C6">
                  <w:pPr>
                    <w:widowControl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E30D489" w14:textId="77777777" w:rsidR="001E56C6" w:rsidRDefault="001E56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Style w:val="a4"/>
                    <w:tblW w:w="1316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316"/>
                  </w:tblGrid>
                  <w:tr w:rsidR="001E56C6" w14:paraId="3FD3DBEF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02563249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1062.08</w:t>
                        </w:r>
                      </w:p>
                    </w:tc>
                  </w:tr>
                  <w:tr w:rsidR="001E56C6" w14:paraId="1DA093C2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DA92942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67.00</w:t>
                        </w:r>
                      </w:p>
                    </w:tc>
                  </w:tr>
                  <w:tr w:rsidR="001E56C6" w14:paraId="2ACE8BF3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34513798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180.00</w:t>
                        </w:r>
                      </w:p>
                    </w:tc>
                  </w:tr>
                  <w:tr w:rsidR="001E56C6" w14:paraId="18523929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50DBB8ED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168.00</w:t>
                        </w:r>
                      </w:p>
                    </w:tc>
                  </w:tr>
                  <w:tr w:rsidR="001E56C6" w14:paraId="1416DF9D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2567A44D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43.00</w:t>
                        </w:r>
                      </w:p>
                    </w:tc>
                  </w:tr>
                  <w:tr w:rsidR="001E56C6" w14:paraId="622A1480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4C8D4202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185.30</w:t>
                        </w:r>
                      </w:p>
                    </w:tc>
                  </w:tr>
                  <w:tr w:rsidR="001E56C6" w14:paraId="49D99353" w14:textId="77777777">
                    <w:trPr>
                      <w:trHeight w:val="300"/>
                    </w:trPr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14:paraId="0361612C" w14:textId="77777777" w:rsidR="001E56C6" w:rsidRDefault="00000000">
                        <w:pPr>
                          <w:widowControl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42.00</w:t>
                        </w:r>
                      </w:p>
                    </w:tc>
                  </w:tr>
                </w:tbl>
                <w:p w14:paraId="3AF5B5CA" w14:textId="77777777" w:rsidR="001E56C6" w:rsidRDefault="001E56C6">
                  <w:pPr>
                    <w:widowControl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F4BC9AA" w14:textId="77777777" w:rsidR="001E56C6" w:rsidRDefault="001E56C6">
                  <w:pPr>
                    <w:widowControl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BAE2D9E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8B78D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33467C0F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32120B24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AD/CM</w:t>
            </w:r>
          </w:p>
        </w:tc>
      </w:tr>
      <w:tr w:rsidR="001E56C6" w14:paraId="2D978642" w14:textId="77777777">
        <w:trPr>
          <w:trHeight w:val="1096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A21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6F48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Planning Consultations.</w:t>
            </w:r>
          </w:p>
          <w:p w14:paraId="031FEA69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The PC made no comment on the following:</w:t>
            </w:r>
          </w:p>
          <w:p w14:paraId="7A707C08" w14:textId="77777777" w:rsidR="001E56C6" w:rsidRDefault="001E56C6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48534076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8094"/>
                  <w:sz w:val="20"/>
                  <w:szCs w:val="20"/>
                  <w:u w:val="single"/>
                </w:rPr>
                <w:t>P24/S0503/FUL</w:t>
              </w:r>
            </w:hyperlink>
          </w:p>
          <w:p w14:paraId="3CDCBB85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Land East of </w:t>
            </w:r>
            <w:proofErr w:type="spell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Dinckley</w:t>
            </w:r>
            <w:proofErr w:type="spell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Court Abingdon Road Burcot</w:t>
            </w:r>
          </w:p>
          <w:p w14:paraId="7B12B02F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Works to existing access to allow suitable access, erection of three dwellings with parking and garaging and related works including landscaping.</w:t>
            </w:r>
          </w:p>
          <w:p w14:paraId="16FDF73C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b/>
                  <w:color w:val="008094"/>
                  <w:sz w:val="20"/>
                  <w:szCs w:val="20"/>
                  <w:u w:val="single"/>
                </w:rPr>
                <w:t>P24/S0311/DIS</w:t>
              </w:r>
            </w:hyperlink>
          </w:p>
          <w:p w14:paraId="28026B86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Land to the South of Creek End Burcot OX14 3DJ</w:t>
            </w:r>
          </w:p>
          <w:p w14:paraId="7FE3CC64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Discharge of condition 4 (Restoration of road and required repairs) in application P22/S1919/FUL Variation of conditions 2 (approved plans) &amp; 7 (materials) on application P21/S5345/FUL - dormer window added to approved garage, bay windows changed from flat top to pitched, doors removed from rear elevation and replaced with a window, and clay roof tile replaced with blue slate. (Variation of conditions 2 (Approved plans), 3 (Construction Traffic Management), 4 (Survey of road and required repairs), 5 (Tree Protection), 6 (Landscaping Scheme), 7 (External Materials), 8 (Parking and Turning), 9 (SW Drainage) and 10 (Foul drainage works) on application P19/S0058/FUL.) P22/S1919/FUL Conditions(s) Condition 4</w:t>
            </w:r>
          </w:p>
          <w:p w14:paraId="61251AED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hyperlink r:id="rId9">
              <w:r>
                <w:rPr>
                  <w:rFonts w:ascii="Arial" w:eastAsia="Arial" w:hAnsi="Arial" w:cs="Arial"/>
                  <w:b/>
                  <w:color w:val="008094"/>
                  <w:sz w:val="20"/>
                  <w:szCs w:val="20"/>
                  <w:u w:val="single"/>
                </w:rPr>
                <w:t>P24/S0403/FUL</w:t>
              </w:r>
            </w:hyperlink>
          </w:p>
          <w:p w14:paraId="6786E703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Springfield Burcot OX14 3DP</w:t>
            </w:r>
          </w:p>
          <w:p w14:paraId="3D595407" w14:textId="77777777" w:rsidR="001E56C6" w:rsidRDefault="00000000">
            <w:pPr>
              <w:shd w:val="clear" w:color="auto" w:fill="FFFFFF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Proposed erection of a new 5 bed replacement family detached home with parking and refuse facilities.</w:t>
            </w:r>
          </w:p>
          <w:p w14:paraId="26F966A3" w14:textId="77777777" w:rsidR="001E56C6" w:rsidRDefault="001E56C6">
            <w:pPr>
              <w:shd w:val="clear" w:color="auto" w:fill="FFFFFF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49BD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290BF49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6073561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CM/AD</w:t>
            </w:r>
          </w:p>
        </w:tc>
      </w:tr>
      <w:tr w:rsidR="001E56C6" w14:paraId="05A064A9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5869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8417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Recreation ground</w:t>
            </w:r>
          </w:p>
          <w:p w14:paraId="3E2A5F4A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Clerk will ask for a quote to remedy any defects, once the playground report has been received.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A50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79DF467F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CM/AD</w:t>
            </w:r>
          </w:p>
        </w:tc>
      </w:tr>
      <w:tr w:rsidR="001E56C6" w14:paraId="14DB64C8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7DF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F3DC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Village Hall</w:t>
            </w:r>
          </w:p>
          <w:p w14:paraId="5064FD7C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Ongoing.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196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</w:tc>
      </w:tr>
      <w:tr w:rsidR="001E56C6" w14:paraId="5F3B0085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059A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095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HIF1</w:t>
            </w:r>
          </w:p>
          <w:p w14:paraId="6F45F396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Inquiry into the proposals for a river crossing has now started, and the Inspector will visit Clifton Hampden and Burcot to walk the route.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AB10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</w:p>
          <w:p w14:paraId="07158279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NF</w:t>
            </w:r>
          </w:p>
        </w:tc>
      </w:tr>
      <w:tr w:rsidR="001E56C6" w14:paraId="27DF942B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0BB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4DC9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20 MPH proposals</w:t>
            </w:r>
          </w:p>
          <w:p w14:paraId="328DE89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broadly supported the proposals, but the Clerk was asked to request</w:t>
            </w:r>
            <w:r>
              <w:rPr>
                <w:rFonts w:ascii="Arial-BoldMT" w:eastAsia="Arial-BoldMT" w:hAnsi="Arial-BoldMT" w:cs="Arial-BoldMT"/>
                <w:sz w:val="20"/>
                <w:szCs w:val="20"/>
              </w:rPr>
              <w:t xml:space="preserve">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white gates at village entrances, a reduction of the current 40mph speed limit to 30mph from Clifton Hampden to Burcot, and 20mph from the recreation Ground to the Forge garage.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6A2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color w:val="000000"/>
                <w:sz w:val="20"/>
                <w:szCs w:val="20"/>
              </w:rPr>
              <w:t>AD</w:t>
            </w:r>
          </w:p>
        </w:tc>
      </w:tr>
      <w:tr w:rsidR="001E56C6" w14:paraId="69DE30DA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BC1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F58E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Bus Shelter</w:t>
            </w:r>
          </w:p>
          <w:p w14:paraId="16620548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Parish Council has received a grant towards the cost of refurbishing the bus shelter in Clifton Hampden. Estimates of the cost are now awaited.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394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A025FE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CM</w:t>
            </w:r>
          </w:p>
        </w:tc>
      </w:tr>
      <w:tr w:rsidR="001E56C6" w14:paraId="74EB26F6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0226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54F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Footpath/Cycleway</w:t>
            </w:r>
          </w:p>
          <w:p w14:paraId="4F79F8CE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Parish Council agreed to the proposal that Cllr McCulloch should enter into discussions with a local farmer to create a number of permissive footpaths in the Parish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043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48A339E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GP</w:t>
            </w:r>
          </w:p>
        </w:tc>
      </w:tr>
      <w:tr w:rsidR="001E56C6" w14:paraId="6A6DEE76" w14:textId="77777777">
        <w:trPr>
          <w:trHeight w:val="1169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A13A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3A3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Any Other Business</w:t>
            </w:r>
          </w:p>
          <w:p w14:paraId="08D3D78B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Parish Council agreed to make a grant of £180 towards the costs incurred by the regular village coffee morning.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B33B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E8C011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All</w:t>
            </w:r>
          </w:p>
          <w:p w14:paraId="0F1D19A8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E56C6" w14:paraId="70432526" w14:textId="77777777">
        <w:trPr>
          <w:trHeight w:val="567"/>
          <w:jc w:val="center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A0F" w14:textId="77777777" w:rsidR="001E56C6" w:rsidRDefault="001E56C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0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839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 of Next Meeting</w:t>
            </w:r>
          </w:p>
          <w:p w14:paraId="0E412415" w14:textId="77777777" w:rsidR="001E56C6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March 2024.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724" w14:textId="77777777" w:rsidR="001E56C6" w:rsidRDefault="001E56C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AF5136C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06F6F060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A705A0E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533BBA5B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356904C9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18E950B0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9C93638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731EAB8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61066FA8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EF65F90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5CBD07DA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5AE32FA7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58A8045D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0BC56CD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145AC959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79EB0AC2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4908B3DB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6DE8AA4E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11DA52B2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7FA340EA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34FE5170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1B86F60E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239A2BB0" w14:textId="77777777" w:rsidR="001E56C6" w:rsidRDefault="00000000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5BD9CCC" wp14:editId="46350810">
            <wp:extent cx="4824730" cy="8864600"/>
            <wp:effectExtent l="0" t="0" r="0" b="0"/>
            <wp:docPr id="987920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886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8AC60B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22DC7C4C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7F994373" w14:textId="77777777" w:rsidR="001E56C6" w:rsidRDefault="001E56C6">
      <w:pPr>
        <w:widowControl/>
        <w:shd w:val="clear" w:color="auto" w:fill="FFFFFF"/>
        <w:rPr>
          <w:rFonts w:ascii="Arial" w:eastAsia="Arial" w:hAnsi="Arial" w:cs="Arial"/>
          <w:b/>
          <w:color w:val="212529"/>
          <w:sz w:val="20"/>
          <w:szCs w:val="20"/>
        </w:rPr>
      </w:pPr>
    </w:p>
    <w:sectPr w:rsidR="001E56C6"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auto"/>
    <w:pitch w:val="default"/>
  </w:font>
  <w:font w:name="TrebuchetMS-Bold">
    <w:altName w:val="Calibri"/>
    <w:charset w:val="00"/>
    <w:family w:val="auto"/>
    <w:pitch w:val="default"/>
  </w:font>
  <w:font w:name="TrebuchetM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C1C97"/>
    <w:multiLevelType w:val="multilevel"/>
    <w:tmpl w:val="25DE22F6"/>
    <w:lvl w:ilvl="0">
      <w:start w:val="1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9D8"/>
    <w:multiLevelType w:val="multilevel"/>
    <w:tmpl w:val="8DFCA21A"/>
    <w:lvl w:ilvl="0">
      <w:start w:val="98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34AD4"/>
    <w:multiLevelType w:val="multilevel"/>
    <w:tmpl w:val="E73EF926"/>
    <w:lvl w:ilvl="0">
      <w:start w:val="82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3848">
    <w:abstractNumId w:val="1"/>
  </w:num>
  <w:num w:numId="2" w16cid:durableId="1967004655">
    <w:abstractNumId w:val="0"/>
  </w:num>
  <w:num w:numId="3" w16cid:durableId="42789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6C6"/>
    <w:rsid w:val="001E56C6"/>
    <w:rsid w:val="002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2070"/>
  <w15:docId w15:val="{7DA2EFCE-3DEA-493B-8CFA-8D1F10C4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F9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F37B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Symbol">
    <w:name w:val="Footnote_Symbol"/>
    <w:qFormat/>
    <w:rsid w:val="00E56F91"/>
    <w:rPr>
      <w:vertAlign w:val="superscript"/>
    </w:rPr>
  </w:style>
  <w:style w:type="character" w:customStyle="1" w:styleId="EndnoteSymbol">
    <w:name w:val="Endnote_Symbol"/>
    <w:qFormat/>
    <w:rsid w:val="00E56F91"/>
    <w:rPr>
      <w:vertAlign w:val="superscript"/>
    </w:rPr>
  </w:style>
  <w:style w:type="character" w:customStyle="1" w:styleId="Footnoteanchor">
    <w:name w:val="Footnote_anchor"/>
    <w:rsid w:val="00E56F91"/>
    <w:rPr>
      <w:vertAlign w:val="superscript"/>
    </w:rPr>
  </w:style>
  <w:style w:type="character" w:customStyle="1" w:styleId="Endnoteanchor">
    <w:name w:val="Endnote_anchor"/>
    <w:rsid w:val="00E56F91"/>
    <w:rPr>
      <w:vertAlign w:val="superscript"/>
    </w:rPr>
  </w:style>
  <w:style w:type="character" w:customStyle="1" w:styleId="FootnoteAnchor0">
    <w:name w:val="Footnote Anchor"/>
    <w:qFormat/>
    <w:rsid w:val="00E56F91"/>
    <w:rPr>
      <w:vertAlign w:val="superscript"/>
    </w:rPr>
  </w:style>
  <w:style w:type="character" w:customStyle="1" w:styleId="EndnoteAnchor0">
    <w:name w:val="Endnote Anchor"/>
    <w:qFormat/>
    <w:rsid w:val="00E56F91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E56F91"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rsid w:val="00E56F91"/>
  </w:style>
  <w:style w:type="paragraph" w:styleId="List">
    <w:name w:val="List"/>
    <w:basedOn w:val="BodyText"/>
    <w:rsid w:val="00E56F91"/>
  </w:style>
  <w:style w:type="paragraph" w:styleId="Caption">
    <w:name w:val="caption"/>
    <w:basedOn w:val="Normal"/>
    <w:qFormat/>
    <w:rsid w:val="00E56F91"/>
  </w:style>
  <w:style w:type="paragraph" w:customStyle="1" w:styleId="Index">
    <w:name w:val="Index"/>
    <w:basedOn w:val="Normal"/>
    <w:qFormat/>
    <w:rsid w:val="00E56F91"/>
  </w:style>
  <w:style w:type="paragraph" w:customStyle="1" w:styleId="TableContents">
    <w:name w:val="Table Contents"/>
    <w:basedOn w:val="BodyText"/>
    <w:qFormat/>
    <w:rsid w:val="00E56F91"/>
  </w:style>
  <w:style w:type="paragraph" w:customStyle="1" w:styleId="TableHeading">
    <w:name w:val="Table Heading"/>
    <w:basedOn w:val="TableContents"/>
    <w:qFormat/>
    <w:rsid w:val="00E56F91"/>
  </w:style>
  <w:style w:type="paragraph" w:customStyle="1" w:styleId="HeaderandFooter">
    <w:name w:val="Header and Footer"/>
    <w:basedOn w:val="Normal"/>
    <w:qFormat/>
    <w:rsid w:val="00E56F91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E56F91"/>
  </w:style>
  <w:style w:type="paragraph" w:styleId="Footer">
    <w:name w:val="footer"/>
    <w:basedOn w:val="Normal"/>
    <w:rsid w:val="00E56F91"/>
  </w:style>
  <w:style w:type="paragraph" w:styleId="FootnoteText">
    <w:name w:val="footnote text"/>
    <w:basedOn w:val="Normal"/>
    <w:rsid w:val="00E56F91"/>
  </w:style>
  <w:style w:type="paragraph" w:styleId="EndnoteText">
    <w:name w:val="endnote text"/>
    <w:basedOn w:val="Normal"/>
    <w:rsid w:val="00E56F91"/>
  </w:style>
  <w:style w:type="character" w:styleId="Hyperlink">
    <w:name w:val="Hyperlink"/>
    <w:basedOn w:val="DefaultParagraphFont"/>
    <w:uiPriority w:val="99"/>
    <w:unhideWhenUsed/>
    <w:rsid w:val="008E738B"/>
    <w:rPr>
      <w:color w:val="0000FF"/>
      <w:u w:val="single"/>
    </w:rPr>
  </w:style>
  <w:style w:type="paragraph" w:customStyle="1" w:styleId="m-6431135819587114153msolistparagraph">
    <w:name w:val="m_-6431135819587114153msolistparagraph"/>
    <w:basedOn w:val="Normal"/>
    <w:rsid w:val="00AE3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09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25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F37BC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 w:bidi="ar-SA"/>
    </w:rPr>
  </w:style>
  <w:style w:type="paragraph" w:styleId="NormalWeb">
    <w:name w:val="Normal (Web)"/>
    <w:basedOn w:val="Normal"/>
    <w:uiPriority w:val="99"/>
    <w:semiHidden/>
    <w:unhideWhenUsed/>
    <w:rsid w:val="000F37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7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05D8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8A0103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outhoxon.gov.uk/ccm/support/Main.jsp?MODULE=ApplicationDetails&amp;REF=P24/S0311/DIS" TargetMode="External"/><Relationship Id="rId3" Type="http://schemas.openxmlformats.org/officeDocument/2006/relationships/styles" Target="styles.xml"/><Relationship Id="rId7" Type="http://schemas.openxmlformats.org/officeDocument/2006/relationships/hyperlink" Target="https://data.southoxon.gov.uk/ccm/support/Main.jsp?MODULE=ApplicationDetails&amp;REF=P24/S0503/FU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intheconversation@southandvale.gov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ata.southoxon.gov.uk/ccm/support/Main.jsp?MODULE=ApplicationDetails&amp;REF=P24/S0403/F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psvvYUCQ/vZdTE4zdVvOwvdvA==">CgMxLjA4AHIhMTJjTjJBWXBNV2xQbWNxbTZSMHJJN0FHNXBqZUhib2kw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Clifton Hampden</dc:creator>
  <cp:lastModifiedBy>Clifton Hampden</cp:lastModifiedBy>
  <cp:revision>2</cp:revision>
  <dcterms:created xsi:type="dcterms:W3CDTF">2024-04-12T18:43:00Z</dcterms:created>
  <dcterms:modified xsi:type="dcterms:W3CDTF">2024-04-12T18:43:00Z</dcterms:modified>
</cp:coreProperties>
</file>